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4F60A">
      <w:pPr>
        <w:pStyle w:val="3"/>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厦门市促进数据产业高质量发展若干措施</w:t>
      </w:r>
    </w:p>
    <w:p w14:paraId="139AB13A">
      <w:pPr>
        <w:pStyle w:val="3"/>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ascii="仿宋_GB2312" w:eastAsia="仿宋_GB2312" w:cs="仿宋_GB2312"/>
          <w:color w:val="auto"/>
          <w:sz w:val="44"/>
          <w:szCs w:val="44"/>
        </w:rPr>
      </w:pPr>
      <w:r>
        <w:rPr>
          <w:rFonts w:hint="eastAsia" w:ascii="楷体" w:hAnsi="楷体" w:eastAsia="楷体" w:cs="楷体"/>
          <w:color w:val="auto"/>
          <w:sz w:val="32"/>
          <w:szCs w:val="32"/>
        </w:rPr>
        <w:t>（</w:t>
      </w:r>
      <w:r>
        <w:rPr>
          <w:rFonts w:hint="eastAsia" w:ascii="楷体" w:hAnsi="楷体" w:eastAsia="楷体" w:cs="楷体"/>
          <w:color w:val="auto"/>
          <w:sz w:val="32"/>
          <w:szCs w:val="32"/>
          <w:lang w:val="en-US" w:eastAsia="zh-CN"/>
        </w:rPr>
        <w:t>公开征求意见稿</w:t>
      </w:r>
      <w:r>
        <w:rPr>
          <w:rFonts w:hint="eastAsia" w:ascii="楷体" w:hAnsi="楷体" w:eastAsia="楷体" w:cs="楷体"/>
          <w:color w:val="auto"/>
          <w:sz w:val="32"/>
          <w:szCs w:val="32"/>
        </w:rPr>
        <w:t>）</w:t>
      </w:r>
    </w:p>
    <w:p w14:paraId="11569C51">
      <w:pPr>
        <w:pStyle w:val="3"/>
        <w:keepNext w:val="0"/>
        <w:keepLines w:val="0"/>
        <w:widowControl/>
        <w:numPr>
          <w:ilvl w:val="-1"/>
          <w:numId w:val="0"/>
        </w:numPr>
        <w:suppressLineNumbers w:val="0"/>
        <w:spacing w:line="600" w:lineRule="exact"/>
        <w:ind w:left="0" w:firstLine="640"/>
        <w:rPr>
          <w:rFonts w:hint="eastAsia" w:ascii="楷体_GB2312" w:hAnsi="楷体_GB2312" w:eastAsia="楷体_GB2312" w:cs="楷体_GB2312"/>
          <w:color w:val="auto"/>
          <w:sz w:val="28"/>
          <w:szCs w:val="28"/>
          <w:lang w:val="en-US" w:eastAsia="zh-CN" w:bidi="ar-SA"/>
        </w:rPr>
      </w:pPr>
      <w:r>
        <w:rPr>
          <w:rFonts w:hint="eastAsia" w:ascii="仿宋_GB2312" w:hAnsi="仿宋" w:eastAsia="仿宋_GB2312"/>
          <w:color w:val="auto"/>
          <w:sz w:val="32"/>
          <w:szCs w:val="32"/>
        </w:rPr>
        <w:t>为贯彻落实《中共中央 国务院关于构建数据基础制度更好发挥数据要素作用的意见》</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福建省促进数据要素流通交易若干措施</w:t>
      </w:r>
      <w:r>
        <w:rPr>
          <w:rFonts w:hint="eastAsia" w:ascii="仿宋_GB2312" w:hAnsi="仿宋" w:eastAsia="仿宋_GB2312"/>
          <w:color w:val="auto"/>
          <w:sz w:val="32"/>
          <w:szCs w:val="32"/>
          <w:lang w:eastAsia="zh-CN"/>
        </w:rPr>
        <w:t>》</w:t>
      </w:r>
      <w:r>
        <w:rPr>
          <w:rFonts w:hint="eastAsia" w:asci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深化</w:t>
      </w:r>
      <w:r>
        <w:rPr>
          <w:rFonts w:hint="eastAsia" w:ascii="仿宋_GB2312" w:eastAsia="仿宋_GB2312" w:cs="仿宋_GB2312"/>
          <w:color w:val="auto"/>
          <w:sz w:val="32"/>
          <w:szCs w:val="32"/>
          <w:lang w:eastAsia="zh-CN"/>
        </w:rPr>
        <w:t>数据要素市场化</w:t>
      </w:r>
      <w:r>
        <w:rPr>
          <w:rFonts w:hint="eastAsia" w:ascii="仿宋_GB2312" w:eastAsia="仿宋_GB2312" w:cs="仿宋_GB2312"/>
          <w:color w:val="auto"/>
          <w:sz w:val="32"/>
          <w:szCs w:val="32"/>
          <w:lang w:val="en-US" w:eastAsia="zh-CN"/>
        </w:rPr>
        <w:t>配置</w:t>
      </w:r>
      <w:r>
        <w:rPr>
          <w:rFonts w:hint="eastAsia" w:ascii="仿宋_GB2312" w:eastAsia="仿宋_GB2312" w:cs="仿宋_GB2312"/>
          <w:color w:val="auto"/>
          <w:sz w:val="32"/>
          <w:szCs w:val="32"/>
          <w:lang w:eastAsia="zh-CN"/>
        </w:rPr>
        <w:t>改革，加快</w:t>
      </w:r>
      <w:r>
        <w:rPr>
          <w:rFonts w:hint="eastAsia" w:ascii="仿宋_GB2312" w:eastAsia="仿宋_GB2312" w:cs="仿宋_GB2312"/>
          <w:color w:val="auto"/>
          <w:sz w:val="32"/>
          <w:szCs w:val="32"/>
          <w:lang w:val="en-US" w:eastAsia="zh-CN"/>
        </w:rPr>
        <w:t>建设厦门数据港，推动</w:t>
      </w:r>
      <w:r>
        <w:rPr>
          <w:rFonts w:hint="eastAsia" w:ascii="仿宋_GB2312" w:eastAsia="仿宋_GB2312" w:cs="仿宋_GB2312"/>
          <w:color w:val="auto"/>
          <w:sz w:val="32"/>
          <w:szCs w:val="32"/>
        </w:rPr>
        <w:t>数据</w:t>
      </w:r>
      <w:r>
        <w:rPr>
          <w:rFonts w:hint="eastAsia" w:ascii="仿宋_GB2312" w:eastAsia="仿宋_GB2312" w:cs="仿宋_GB2312"/>
          <w:color w:val="auto"/>
          <w:sz w:val="32"/>
          <w:szCs w:val="32"/>
          <w:lang w:eastAsia="zh-CN"/>
        </w:rPr>
        <w:t>产业</w:t>
      </w:r>
      <w:r>
        <w:rPr>
          <w:rFonts w:hint="eastAsia" w:ascii="仿宋_GB2312" w:eastAsia="仿宋_GB2312" w:cs="仿宋_GB2312"/>
          <w:color w:val="auto"/>
          <w:sz w:val="32"/>
          <w:szCs w:val="32"/>
          <w:lang w:val="en-US" w:eastAsia="zh-CN"/>
        </w:rPr>
        <w:t>高质量发展</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构建以数据为关键要素的数字经济，加快建设数字厦门，为塑造发展新动能新优势提供有力支撑</w:t>
      </w:r>
      <w:r>
        <w:rPr>
          <w:rFonts w:hint="eastAsia" w:ascii="仿宋_GB2312" w:eastAsia="仿宋_GB2312" w:cs="仿宋_GB2312"/>
          <w:color w:val="auto"/>
          <w:sz w:val="32"/>
          <w:szCs w:val="32"/>
        </w:rPr>
        <w:t>，结合我</w:t>
      </w:r>
      <w:r>
        <w:rPr>
          <w:rFonts w:hint="eastAsia" w:ascii="仿宋_GB2312" w:eastAsia="仿宋_GB2312" w:cs="仿宋_GB2312"/>
          <w:color w:val="auto"/>
          <w:sz w:val="32"/>
          <w:szCs w:val="32"/>
          <w:lang w:eastAsia="zh-CN"/>
        </w:rPr>
        <w:t>市</w:t>
      </w:r>
      <w:r>
        <w:rPr>
          <w:rFonts w:hint="eastAsia" w:ascii="仿宋_GB2312" w:eastAsia="仿宋_GB2312" w:cs="仿宋_GB2312"/>
          <w:color w:val="auto"/>
          <w:sz w:val="32"/>
          <w:szCs w:val="32"/>
        </w:rPr>
        <w:t>实际，制定以下措施。</w:t>
      </w:r>
    </w:p>
    <w:p w14:paraId="7ACFE2D9">
      <w:pPr>
        <w:pStyle w:val="3"/>
        <w:keepNext w:val="0"/>
        <w:keepLines w:val="0"/>
        <w:widowControl/>
        <w:numPr>
          <w:ilvl w:val="0"/>
          <w:numId w:val="1"/>
        </w:numPr>
        <w:suppressLineNumbers w:val="0"/>
        <w:spacing w:line="600" w:lineRule="exact"/>
        <w:ind w:left="630" w:firstLine="0"/>
        <w:rPr>
          <w:rFonts w:hint="eastAsia" w:ascii="黑体" w:hAnsi="黑体" w:eastAsia="黑体" w:cs="黑体"/>
          <w:color w:val="auto"/>
          <w:sz w:val="32"/>
          <w:szCs w:val="32"/>
          <w:lang w:eastAsia="zh-CN"/>
        </w:rPr>
      </w:pPr>
      <w:r>
        <w:rPr>
          <w:rFonts w:hint="eastAsia" w:ascii="黑体" w:hAnsi="黑体" w:eastAsia="黑体" w:cs="黑体"/>
          <w:color w:val="auto"/>
          <w:kern w:val="0"/>
          <w:sz w:val="32"/>
          <w:szCs w:val="32"/>
          <w:shd w:val="clear"/>
          <w:lang w:val="en-US" w:eastAsia="zh-CN" w:bidi="ar-SA"/>
        </w:rPr>
        <w:t>强化数据基础设施建设</w:t>
      </w:r>
    </w:p>
    <w:p w14:paraId="11C88F42">
      <w:pPr>
        <w:pStyle w:val="3"/>
        <w:keepNext w:val="0"/>
        <w:keepLines w:val="0"/>
        <w:widowControl/>
        <w:numPr>
          <w:ilvl w:val="-1"/>
          <w:numId w:val="0"/>
        </w:numPr>
        <w:suppressLineNumbers w:val="0"/>
        <w:spacing w:line="600" w:lineRule="exact"/>
        <w:ind w:left="0" w:leftChars="0" w:firstLine="643" w:firstLineChars="200"/>
        <w:jc w:val="left"/>
        <w:rPr>
          <w:rFonts w:hint="eastAsia" w:ascii="仿宋_GB2312" w:eastAsia="仿宋_GB2312" w:cs="仿宋_GB2312"/>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（一）支持建设数据流通利用基础设施。</w:t>
      </w:r>
      <w:r>
        <w:rPr>
          <w:rFonts w:hint="eastAsia" w:ascii="仿宋_GB2312" w:eastAsia="仿宋_GB2312" w:cs="仿宋_GB2312"/>
          <w:color w:val="auto"/>
          <w:kern w:val="0"/>
          <w:sz w:val="32"/>
          <w:szCs w:val="32"/>
          <w:highlight w:val="none"/>
          <w:lang w:val="en-US" w:eastAsia="zh-CN" w:bidi="ar"/>
        </w:rPr>
        <w:t>支持建设运营场景驱动、标准互通、可信管控的城市、行业、企业等可信数据空间，支持建设公共数据融合开发平台、数据交易平台，</w:t>
      </w:r>
      <w:r>
        <w:rPr>
          <w:rFonts w:hint="eastAsia" w:ascii="仿宋_GB2312" w:eastAsia="仿宋_GB2312" w:cs="仿宋_GB2312"/>
          <w:color w:val="auto"/>
          <w:kern w:val="0"/>
          <w:sz w:val="32"/>
          <w:szCs w:val="32"/>
          <w:lang w:val="en-US" w:eastAsia="zh-CN" w:bidi="ar"/>
        </w:rPr>
        <w:t>为数据要素规模化供给、流通、交易、应用等提供支撑、承载服务</w:t>
      </w:r>
      <w:r>
        <w:rPr>
          <w:rFonts w:hint="eastAsia" w:ascii="仿宋_GB2312" w:eastAsia="仿宋_GB2312" w:cs="仿宋_GB2312"/>
          <w:color w:val="auto"/>
          <w:kern w:val="0"/>
          <w:sz w:val="32"/>
          <w:szCs w:val="32"/>
          <w:highlight w:val="none"/>
          <w:lang w:val="en-US" w:eastAsia="zh-CN" w:bidi="ar"/>
        </w:rPr>
        <w:t>。每年</w:t>
      </w:r>
      <w:r>
        <w:rPr>
          <w:rFonts w:hint="eastAsia" w:ascii="仿宋_GB2312" w:hAnsi="仿宋" w:eastAsia="仿宋_GB2312" w:cs="宋体"/>
          <w:b w:val="0"/>
          <w:bCs w:val="0"/>
          <w:color w:val="auto"/>
          <w:kern w:val="0"/>
          <w:sz w:val="32"/>
          <w:szCs w:val="32"/>
          <w:lang w:val="en-US" w:eastAsia="zh-CN" w:bidi="ar"/>
        </w:rPr>
        <w:t>评选一批成效显著的项目，</w:t>
      </w:r>
      <w:r>
        <w:rPr>
          <w:rFonts w:hint="eastAsia" w:ascii="仿宋_GB2312" w:eastAsia="仿宋_GB2312" w:cs="仿宋_GB2312"/>
          <w:color w:val="auto"/>
          <w:kern w:val="0"/>
          <w:sz w:val="32"/>
          <w:szCs w:val="32"/>
          <w:highlight w:val="none"/>
          <w:lang w:val="en-US" w:eastAsia="zh-CN" w:bidi="ar"/>
        </w:rPr>
        <w:t>按项目年度综合效益（固定资产折旧、无形资产摊销、经营收入、研发费用四项指标加总计算）最高10%的比例给予补助，</w:t>
      </w:r>
      <w:r>
        <w:rPr>
          <w:rFonts w:hint="eastAsia" w:ascii="仿宋_GB2312" w:hAnsi="宋体" w:eastAsia="仿宋_GB2312" w:cs="仿宋_GB2312"/>
          <w:color w:val="auto"/>
          <w:kern w:val="0"/>
          <w:sz w:val="32"/>
          <w:szCs w:val="32"/>
          <w:highlight w:val="none"/>
          <w:lang w:val="en-US" w:eastAsia="zh-CN" w:bidi="ar"/>
        </w:rPr>
        <w:t>最高不超过500万元</w:t>
      </w:r>
      <w:r>
        <w:rPr>
          <w:rFonts w:hint="eastAsia" w:ascii="仿宋_GB2312" w:eastAsia="仿宋_GB2312" w:cs="仿宋_GB2312"/>
          <w:color w:val="auto"/>
          <w:kern w:val="0"/>
          <w:sz w:val="32"/>
          <w:szCs w:val="32"/>
          <w:highlight w:val="none"/>
          <w:lang w:val="en-US" w:eastAsia="zh-CN" w:bidi="ar"/>
        </w:rPr>
        <w:t>，每个项目</w:t>
      </w:r>
      <w:r>
        <w:rPr>
          <w:rFonts w:hint="eastAsia" w:ascii="仿宋_GB2312" w:hAnsi="宋体" w:eastAsia="仿宋_GB2312" w:cs="仿宋_GB2312"/>
          <w:color w:val="auto"/>
          <w:kern w:val="0"/>
          <w:sz w:val="32"/>
          <w:szCs w:val="32"/>
          <w:highlight w:val="none"/>
          <w:lang w:val="en-US" w:eastAsia="zh-CN" w:bidi="ar"/>
          <w:rPrChange w:id="0" w:author="YUXH" w:date="2025-04-10T11:41:10Z">
            <w:rPr>
              <w:rFonts w:hint="eastAsia" w:ascii="仿宋_GB2312" w:hAnsi="宋体" w:eastAsia="仿宋_GB2312" w:cs="仿宋_GB2312"/>
              <w:color w:val="auto"/>
              <w:kern w:val="0"/>
              <w:sz w:val="32"/>
              <w:szCs w:val="32"/>
              <w:highlight w:val="none"/>
              <w:lang w:val="en-US" w:eastAsia="zh-CN" w:bidi="ar"/>
            </w:rPr>
          </w:rPrChange>
        </w:rPr>
        <w:t>最</w:t>
      </w:r>
      <w:r>
        <w:rPr>
          <w:rFonts w:hint="eastAsia" w:ascii="仿宋_GB2312" w:eastAsia="仿宋_GB2312" w:cs="仿宋_GB2312"/>
          <w:color w:val="auto"/>
          <w:kern w:val="0"/>
          <w:sz w:val="32"/>
          <w:szCs w:val="32"/>
          <w:highlight w:val="none"/>
          <w:lang w:val="en-US" w:eastAsia="zh-CN" w:bidi="ar"/>
        </w:rPr>
        <w:t>多连续补贴三年。</w:t>
      </w:r>
    </w:p>
    <w:p w14:paraId="3C7A1B5A">
      <w:pPr>
        <w:pStyle w:val="3"/>
        <w:keepNext w:val="0"/>
        <w:keepLines w:val="0"/>
        <w:widowControl/>
        <w:numPr>
          <w:ilvl w:val="-1"/>
          <w:numId w:val="0"/>
        </w:numPr>
        <w:suppressLineNumbers w:val="0"/>
        <w:spacing w:line="600" w:lineRule="exact"/>
        <w:ind w:left="0" w:firstLine="643" w:firstLineChars="200"/>
        <w:jc w:val="left"/>
        <w:rPr>
          <w:rFonts w:hint="eastAsia" w:ascii="仿宋_GB2312" w:eastAsia="仿宋_GB2312" w:cs="仿宋_GB2312"/>
          <w:color w:val="auto"/>
          <w:kern w:val="0"/>
          <w:sz w:val="32"/>
          <w:szCs w:val="32"/>
          <w:highlight w:val="none"/>
          <w:lang w:val="en-US" w:eastAsia="zh-CN" w:bidi="ar"/>
        </w:rPr>
      </w:pPr>
      <w:r>
        <w:rPr>
          <w:rFonts w:hint="eastAsia" w:ascii="楷体_GB2312" w:hAnsi="楷体_GB2312" w:eastAsia="楷体_GB2312" w:cs="楷体_GB2312"/>
          <w:b/>
          <w:bCs/>
          <w:color w:val="auto"/>
          <w:kern w:val="0"/>
          <w:sz w:val="32"/>
          <w:szCs w:val="32"/>
          <w:highlight w:val="none"/>
          <w:lang w:val="en-US" w:eastAsia="zh-CN" w:bidi="ar"/>
        </w:rPr>
        <w:t>（二）支持建设行业高质量数据集。</w:t>
      </w:r>
      <w:r>
        <w:rPr>
          <w:rFonts w:hint="eastAsia" w:ascii="仿宋_GB2312" w:eastAsia="仿宋_GB2312" w:hAnsiTheme="minorHAnsi" w:cstheme="minorBidi"/>
          <w:b w:val="0"/>
          <w:bCs w:val="0"/>
          <w:color w:val="auto"/>
          <w:kern w:val="2"/>
          <w:sz w:val="32"/>
          <w:szCs w:val="32"/>
          <w:lang w:val="en-US" w:eastAsia="zh-CN" w:bidi="ar-SA"/>
        </w:rPr>
        <w:t>鼓励企业</w:t>
      </w:r>
      <w:r>
        <w:rPr>
          <w:rFonts w:ascii="仿宋_GB2312" w:hAnsi="宋体" w:eastAsia="仿宋_GB2312" w:cs="仿宋_GB2312"/>
          <w:color w:val="auto"/>
          <w:kern w:val="0"/>
          <w:sz w:val="32"/>
          <w:szCs w:val="32"/>
          <w:highlight w:val="none"/>
          <w:lang w:val="en-US" w:eastAsia="zh-CN" w:bidi="ar"/>
        </w:rPr>
        <w:t>汇集行业内上下游企业数据</w:t>
      </w:r>
      <w:r>
        <w:rPr>
          <w:rFonts w:hint="eastAsia" w:ascii="仿宋_GB2312" w:eastAsia="仿宋_GB2312" w:cs="仿宋_GB2312"/>
          <w:color w:val="auto"/>
          <w:kern w:val="0"/>
          <w:sz w:val="32"/>
          <w:szCs w:val="32"/>
          <w:highlight w:val="none"/>
          <w:lang w:val="en-US" w:eastAsia="zh-CN" w:bidi="ar"/>
        </w:rPr>
        <w:t>资源，开展数据清洗、标准化、标注等数据治理工作，形成多模态的行业高质量数据集，通过厦门公共数据融合开发平台向社会开放，提供跨企业、跨行业的数据服务。每年</w:t>
      </w:r>
      <w:r>
        <w:rPr>
          <w:rFonts w:hint="eastAsia" w:ascii="仿宋_GB2312" w:hAnsi="仿宋" w:eastAsia="仿宋_GB2312" w:cs="宋体"/>
          <w:b w:val="0"/>
          <w:bCs w:val="0"/>
          <w:color w:val="auto"/>
          <w:kern w:val="0"/>
          <w:sz w:val="32"/>
          <w:szCs w:val="32"/>
          <w:lang w:val="en-US" w:eastAsia="zh-CN" w:bidi="ar"/>
        </w:rPr>
        <w:t>评选一批成效显著的项目，</w:t>
      </w:r>
      <w:r>
        <w:rPr>
          <w:rFonts w:hint="eastAsia" w:ascii="仿宋_GB2312" w:eastAsia="仿宋_GB2312" w:cs="仿宋_GB2312"/>
          <w:color w:val="auto"/>
          <w:kern w:val="0"/>
          <w:sz w:val="32"/>
          <w:szCs w:val="32"/>
          <w:highlight w:val="none"/>
          <w:lang w:val="en-US" w:eastAsia="zh-CN" w:bidi="ar"/>
        </w:rPr>
        <w:t>按不超过项目实际投入的30%的比例给予一次性补助，每个项目</w:t>
      </w:r>
      <w:r>
        <w:rPr>
          <w:rFonts w:hint="eastAsia" w:ascii="仿宋_GB2312" w:hAnsi="宋体" w:eastAsia="仿宋_GB2312" w:cs="仿宋_GB2312"/>
          <w:color w:val="auto"/>
          <w:kern w:val="0"/>
          <w:sz w:val="32"/>
          <w:szCs w:val="32"/>
          <w:highlight w:val="none"/>
          <w:lang w:val="en-US" w:eastAsia="zh-CN" w:bidi="ar"/>
        </w:rPr>
        <w:t>最高</w:t>
      </w:r>
      <w:r>
        <w:rPr>
          <w:rFonts w:hint="eastAsia" w:ascii="仿宋_GB2312" w:eastAsia="仿宋_GB2312" w:cs="仿宋_GB2312"/>
          <w:color w:val="auto"/>
          <w:kern w:val="0"/>
          <w:sz w:val="32"/>
          <w:szCs w:val="32"/>
          <w:highlight w:val="none"/>
          <w:lang w:val="en-US" w:eastAsia="zh-CN" w:bidi="ar"/>
        </w:rPr>
        <w:t>补助</w:t>
      </w:r>
      <w:r>
        <w:rPr>
          <w:rFonts w:hint="eastAsia" w:ascii="仿宋_GB2312" w:hAnsi="宋体" w:eastAsia="仿宋_GB2312" w:cs="仿宋_GB2312"/>
          <w:color w:val="auto"/>
          <w:kern w:val="0"/>
          <w:sz w:val="32"/>
          <w:szCs w:val="32"/>
          <w:highlight w:val="none"/>
          <w:lang w:val="en-US" w:eastAsia="zh-CN" w:bidi="ar"/>
        </w:rPr>
        <w:t>不超过50</w:t>
      </w:r>
      <w:r>
        <w:rPr>
          <w:rFonts w:hint="eastAsia" w:ascii="仿宋_GB2312" w:eastAsia="仿宋_GB2312" w:cs="仿宋_GB2312"/>
          <w:color w:val="auto"/>
          <w:kern w:val="0"/>
          <w:sz w:val="32"/>
          <w:szCs w:val="32"/>
          <w:highlight w:val="none"/>
          <w:lang w:val="en-US" w:eastAsia="zh-CN" w:bidi="ar"/>
        </w:rPr>
        <w:t>0</w:t>
      </w:r>
      <w:r>
        <w:rPr>
          <w:rFonts w:hint="eastAsia" w:ascii="仿宋_GB2312" w:hAnsi="宋体" w:eastAsia="仿宋_GB2312" w:cs="仿宋_GB2312"/>
          <w:color w:val="auto"/>
          <w:kern w:val="0"/>
          <w:sz w:val="32"/>
          <w:szCs w:val="32"/>
          <w:highlight w:val="none"/>
          <w:lang w:val="en-US" w:eastAsia="zh-CN" w:bidi="ar"/>
        </w:rPr>
        <w:t>万元</w:t>
      </w:r>
      <w:r>
        <w:rPr>
          <w:rFonts w:hint="eastAsia" w:ascii="仿宋_GB2312" w:eastAsia="仿宋_GB2312" w:cs="仿宋_GB2312"/>
          <w:color w:val="auto"/>
          <w:kern w:val="0"/>
          <w:sz w:val="32"/>
          <w:szCs w:val="32"/>
          <w:highlight w:val="none"/>
          <w:lang w:val="en-US" w:eastAsia="zh-CN" w:bidi="ar"/>
        </w:rPr>
        <w:t>。</w:t>
      </w:r>
    </w:p>
    <w:p w14:paraId="7E9CFE24">
      <w:pPr>
        <w:pStyle w:val="3"/>
        <w:widowControl/>
        <w:numPr>
          <w:ilvl w:val="0"/>
          <w:numId w:val="1"/>
        </w:numPr>
        <w:spacing w:line="600" w:lineRule="exact"/>
        <w:ind w:left="630" w:firstLine="0"/>
        <w:rPr>
          <w:rFonts w:hint="eastAsia" w:ascii="黑体" w:hAnsi="黑体" w:eastAsia="黑体" w:cs="黑体"/>
          <w:b w:val="0"/>
          <w:bCs w:val="0"/>
          <w:color w:val="auto"/>
          <w:kern w:val="0"/>
          <w:sz w:val="32"/>
          <w:szCs w:val="32"/>
          <w:lang w:val="en-US" w:eastAsia="zh-CN" w:bidi="ar-SA"/>
        </w:rPr>
      </w:pPr>
      <w:r>
        <w:rPr>
          <w:rFonts w:hint="eastAsia" w:ascii="黑体" w:hAnsi="黑体" w:eastAsia="黑体" w:cs="黑体"/>
          <w:b w:val="0"/>
          <w:bCs w:val="0"/>
          <w:color w:val="auto"/>
          <w:sz w:val="32"/>
          <w:szCs w:val="32"/>
          <w:lang w:val="en-US" w:eastAsia="zh-CN" w:bidi="ar-SA"/>
        </w:rPr>
        <w:t>提升企业数据管理水平</w:t>
      </w:r>
    </w:p>
    <w:p w14:paraId="7C7BAABA">
      <w:pPr>
        <w:pStyle w:val="3"/>
        <w:keepNext w:val="0"/>
        <w:keepLines w:val="0"/>
        <w:widowControl/>
        <w:numPr>
          <w:ilvl w:val="-1"/>
          <w:numId w:val="0"/>
        </w:numPr>
        <w:suppressLineNumbers w:val="0"/>
        <w:spacing w:line="600" w:lineRule="exact"/>
        <w:ind w:left="0" w:leftChars="0" w:firstLine="643" w:firstLineChars="200"/>
        <w:jc w:val="left"/>
        <w:rPr>
          <w:rFonts w:hint="eastAsia" w:ascii="仿宋_GB2312" w:eastAsia="仿宋_GB2312" w:hAnsiTheme="minorHAnsi" w:cstheme="minorBidi"/>
          <w:b w:val="0"/>
          <w:bCs w:val="0"/>
          <w:color w:val="auto"/>
          <w:kern w:val="2"/>
          <w:sz w:val="32"/>
          <w:szCs w:val="32"/>
          <w:lang w:val="en-US" w:eastAsia="zh-CN" w:bidi="ar-SA"/>
        </w:rPr>
      </w:pPr>
      <w:r>
        <w:rPr>
          <w:rFonts w:hint="eastAsia" w:ascii="楷体_GB2312" w:hAnsi="楷体_GB2312" w:eastAsia="楷体_GB2312" w:cs="楷体_GB2312"/>
          <w:b/>
          <w:bCs/>
          <w:color w:val="auto"/>
          <w:kern w:val="0"/>
          <w:sz w:val="32"/>
          <w:szCs w:val="32"/>
          <w:highlight w:val="none"/>
          <w:lang w:val="en-US" w:eastAsia="zh-CN" w:bidi="ar"/>
        </w:rPr>
        <w:t>（三）支持企业提升数据治理能力。</w:t>
      </w:r>
      <w:r>
        <w:rPr>
          <w:rFonts w:hint="eastAsia" w:ascii="仿宋_GB2312" w:eastAsia="仿宋_GB2312" w:hAnsiTheme="minorHAnsi" w:cstheme="minorBidi"/>
          <w:b w:val="0"/>
          <w:bCs w:val="0"/>
          <w:color w:val="auto"/>
          <w:kern w:val="2"/>
          <w:sz w:val="32"/>
          <w:szCs w:val="32"/>
          <w:lang w:val="en-US" w:eastAsia="zh-CN" w:bidi="ar-SA"/>
        </w:rPr>
        <w:t>鼓励开展数据管理能力成熟度（DCMM）贯标，政策有效期内，通过DCMM三级、四级、五级评估认证的企业，分别给予一次性最高5万元、</w:t>
      </w:r>
      <w:r>
        <w:rPr>
          <w:rFonts w:hint="eastAsia" w:ascii="仿宋_GB2312" w:eastAsia="仿宋_GB2312" w:cstheme="minorBidi"/>
          <w:b w:val="0"/>
          <w:bCs w:val="0"/>
          <w:color w:val="auto"/>
          <w:kern w:val="2"/>
          <w:sz w:val="32"/>
          <w:szCs w:val="32"/>
          <w:lang w:val="en-US" w:eastAsia="zh-CN" w:bidi="ar-SA"/>
        </w:rPr>
        <w:t>10</w:t>
      </w:r>
      <w:r>
        <w:rPr>
          <w:rFonts w:hint="eastAsia" w:ascii="仿宋_GB2312" w:eastAsia="仿宋_GB2312" w:hAnsiTheme="minorHAnsi" w:cstheme="minorBidi"/>
          <w:b w:val="0"/>
          <w:bCs w:val="0"/>
          <w:color w:val="auto"/>
          <w:kern w:val="2"/>
          <w:sz w:val="32"/>
          <w:szCs w:val="32"/>
          <w:lang w:val="en-US" w:eastAsia="zh-CN" w:bidi="ar-SA"/>
        </w:rPr>
        <w:t>万元、</w:t>
      </w:r>
      <w:r>
        <w:rPr>
          <w:rFonts w:hint="eastAsia" w:ascii="仿宋_GB2312" w:eastAsia="仿宋_GB2312" w:cstheme="minorBidi"/>
          <w:b w:val="0"/>
          <w:bCs w:val="0"/>
          <w:color w:val="auto"/>
          <w:kern w:val="2"/>
          <w:sz w:val="32"/>
          <w:szCs w:val="32"/>
          <w:lang w:val="en-US" w:eastAsia="zh-CN" w:bidi="ar-SA"/>
        </w:rPr>
        <w:t>2</w:t>
      </w:r>
      <w:r>
        <w:rPr>
          <w:rFonts w:hint="eastAsia" w:ascii="仿宋_GB2312" w:eastAsia="仿宋_GB2312" w:hAnsiTheme="minorHAnsi" w:cstheme="minorBidi"/>
          <w:b w:val="0"/>
          <w:bCs w:val="0"/>
          <w:color w:val="auto"/>
          <w:kern w:val="2"/>
          <w:sz w:val="32"/>
          <w:szCs w:val="32"/>
          <w:lang w:val="en-US" w:eastAsia="zh-CN" w:bidi="ar-SA"/>
        </w:rPr>
        <w:t>0万元奖励，对已经享受较低等级认证奖励的企业再次通过更高级别给予差额奖励。</w:t>
      </w:r>
    </w:p>
    <w:p w14:paraId="26972A59">
      <w:pPr>
        <w:keepNext w:val="0"/>
        <w:keepLines w:val="0"/>
        <w:widowControl/>
        <w:numPr>
          <w:ilvl w:val="-1"/>
          <w:numId w:val="0"/>
        </w:numPr>
        <w:suppressLineNumbers w:val="0"/>
        <w:spacing w:line="600" w:lineRule="exact"/>
        <w:ind w:left="0" w:leftChars="0" w:firstLine="643" w:firstLineChars="200"/>
        <w:jc w:val="left"/>
        <w:rPr>
          <w:rFonts w:hint="eastAsia" w:ascii="仿宋_GB2312" w:eastAsia="仿宋_GB2312" w:hAnsiTheme="minorHAnsi" w:cstheme="minorBidi"/>
          <w:color w:val="auto"/>
          <w:kern w:val="2"/>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
        </w:rPr>
        <w:t>（四）支持企业数据要素合规高效流通。</w:t>
      </w:r>
      <w:r>
        <w:rPr>
          <w:rFonts w:hint="eastAsia" w:ascii="仿宋_GB2312" w:eastAsia="仿宋_GB2312" w:cstheme="minorBidi"/>
          <w:color w:val="auto"/>
          <w:kern w:val="2"/>
          <w:sz w:val="32"/>
          <w:szCs w:val="32"/>
          <w:lang w:val="en-US" w:eastAsia="zh-CN" w:bidi="ar-SA"/>
        </w:rPr>
        <w:t>鼓励</w:t>
      </w:r>
      <w:r>
        <w:rPr>
          <w:rFonts w:hint="eastAsia" w:ascii="仿宋_GB2312" w:eastAsia="仿宋_GB2312" w:hAnsiTheme="minorHAnsi" w:cstheme="minorBidi"/>
          <w:b w:val="0"/>
          <w:bCs w:val="0"/>
          <w:color w:val="auto"/>
          <w:kern w:val="2"/>
          <w:sz w:val="32"/>
          <w:szCs w:val="32"/>
          <w:lang w:val="en-US" w:eastAsia="zh-CN" w:bidi="ar-SA"/>
        </w:rPr>
        <w:t>企业</w:t>
      </w:r>
      <w:r>
        <w:rPr>
          <w:rFonts w:hint="eastAsia" w:ascii="仿宋_GB2312" w:eastAsia="仿宋_GB2312" w:hAnsiTheme="minorHAnsi" w:cstheme="minorBidi"/>
          <w:b w:val="0"/>
          <w:bCs w:val="0"/>
          <w:color w:val="auto"/>
          <w:kern w:val="2"/>
          <w:sz w:val="32"/>
          <w:szCs w:val="32"/>
          <w:highlight w:val="none"/>
          <w:lang w:val="en-US" w:eastAsia="zh-CN" w:bidi="ar-SA"/>
        </w:rPr>
        <w:t>开展数据资产登记、数据资产入表</w:t>
      </w:r>
      <w:r>
        <w:rPr>
          <w:rFonts w:hint="eastAsia" w:ascii="仿宋_GB2312" w:eastAsia="仿宋_GB2312" w:cstheme="minorBidi"/>
          <w:b w:val="0"/>
          <w:bCs w:val="0"/>
          <w:color w:val="auto"/>
          <w:kern w:val="2"/>
          <w:sz w:val="32"/>
          <w:szCs w:val="32"/>
          <w:lang w:val="en-US" w:eastAsia="zh-CN" w:bidi="ar-SA"/>
        </w:rPr>
        <w:t>，</w:t>
      </w:r>
      <w:r>
        <w:rPr>
          <w:rFonts w:hint="eastAsia" w:ascii="仿宋_GB2312" w:eastAsia="仿宋_GB2312" w:hAnsiTheme="minorHAnsi" w:cstheme="minorBidi"/>
          <w:b w:val="0"/>
          <w:bCs w:val="0"/>
          <w:color w:val="auto"/>
          <w:kern w:val="2"/>
          <w:sz w:val="32"/>
          <w:szCs w:val="32"/>
          <w:lang w:val="en-US" w:eastAsia="zh-CN" w:bidi="ar-SA"/>
        </w:rPr>
        <w:t>支持企业</w:t>
      </w:r>
      <w:r>
        <w:rPr>
          <w:rFonts w:hint="eastAsia" w:ascii="仿宋_GB2312" w:eastAsia="仿宋_GB2312" w:cstheme="minorBidi"/>
          <w:b w:val="0"/>
          <w:bCs w:val="0"/>
          <w:color w:val="auto"/>
          <w:kern w:val="2"/>
          <w:sz w:val="32"/>
          <w:szCs w:val="32"/>
          <w:lang w:val="en-US" w:eastAsia="zh-CN" w:bidi="ar-SA"/>
        </w:rPr>
        <w:t>规范开展数据跨境流动</w:t>
      </w:r>
      <w:r>
        <w:rPr>
          <w:rFonts w:hint="eastAsia" w:ascii="仿宋_GB2312" w:eastAsia="仿宋_GB2312" w:cstheme="minorBidi"/>
          <w:color w:val="auto"/>
          <w:kern w:val="2"/>
          <w:sz w:val="32"/>
          <w:szCs w:val="32"/>
          <w:lang w:val="en-US" w:eastAsia="zh-CN" w:bidi="ar-SA"/>
        </w:rPr>
        <w:t>。</w:t>
      </w:r>
      <w:r>
        <w:rPr>
          <w:rFonts w:hint="eastAsia" w:ascii="仿宋_GB2312" w:eastAsia="仿宋_GB2312" w:hAnsiTheme="minorHAnsi" w:cstheme="minorBidi"/>
          <w:b w:val="0"/>
          <w:bCs w:val="0"/>
          <w:color w:val="auto"/>
          <w:kern w:val="2"/>
          <w:sz w:val="32"/>
          <w:szCs w:val="32"/>
          <w:lang w:val="en-US" w:eastAsia="zh-CN" w:bidi="ar-SA"/>
        </w:rPr>
        <w:t>支持企业</w:t>
      </w:r>
      <w:r>
        <w:rPr>
          <w:rFonts w:hint="eastAsia" w:ascii="仿宋_GB2312" w:eastAsia="仿宋_GB2312" w:cstheme="minorBidi"/>
          <w:b w:val="0"/>
          <w:bCs w:val="0"/>
          <w:color w:val="auto"/>
          <w:kern w:val="2"/>
          <w:sz w:val="32"/>
          <w:szCs w:val="32"/>
          <w:lang w:val="en-US" w:eastAsia="zh-CN" w:bidi="ar-SA"/>
        </w:rPr>
        <w:t>依托</w:t>
      </w:r>
      <w:r>
        <w:rPr>
          <w:rFonts w:hint="eastAsia" w:ascii="仿宋_GB2312" w:eastAsia="仿宋_GB2312" w:cstheme="minorBidi"/>
          <w:color w:val="auto"/>
          <w:kern w:val="2"/>
          <w:sz w:val="32"/>
          <w:szCs w:val="32"/>
          <w:lang w:val="en-US" w:eastAsia="zh-CN" w:bidi="ar-SA"/>
        </w:rPr>
        <w:t>第三方专业机构开展数据资产合规性审查、数据资产价值评估、数据质量评价等工作。企业数据产品和服务首次在</w:t>
      </w:r>
      <w:r>
        <w:rPr>
          <w:rFonts w:hint="eastAsia" w:ascii="仿宋_GB2312" w:eastAsia="仿宋_GB2312" w:cstheme="minorBidi"/>
          <w:color w:val="auto"/>
          <w:kern w:val="2"/>
          <w:sz w:val="32"/>
          <w:szCs w:val="32"/>
          <w:highlight w:val="none"/>
          <w:lang w:val="en-US" w:eastAsia="zh-CN" w:bidi="ar-SA"/>
        </w:rPr>
        <w:t>厦门市数据资产登记中心</w:t>
      </w:r>
      <w:r>
        <w:rPr>
          <w:rFonts w:hint="eastAsia" w:ascii="仿宋_GB2312" w:eastAsia="仿宋_GB2312" w:hAnsiTheme="minorHAnsi" w:cstheme="minorBidi"/>
          <w:color w:val="auto"/>
          <w:kern w:val="2"/>
          <w:sz w:val="32"/>
          <w:szCs w:val="32"/>
          <w:highlight w:val="none"/>
          <w:lang w:val="en-US" w:eastAsia="zh-CN" w:bidi="ar-SA"/>
        </w:rPr>
        <w:t>取得数据</w:t>
      </w:r>
      <w:r>
        <w:rPr>
          <w:rFonts w:hint="eastAsia" w:ascii="仿宋_GB2312" w:eastAsia="仿宋_GB2312" w:cstheme="minorBidi"/>
          <w:color w:val="auto"/>
          <w:kern w:val="2"/>
          <w:sz w:val="32"/>
          <w:szCs w:val="32"/>
          <w:highlight w:val="none"/>
          <w:lang w:val="en-US" w:eastAsia="zh-CN" w:bidi="ar-SA"/>
        </w:rPr>
        <w:t>资产</w:t>
      </w:r>
      <w:r>
        <w:rPr>
          <w:rFonts w:hint="eastAsia" w:ascii="仿宋_GB2312" w:eastAsia="仿宋_GB2312" w:hAnsiTheme="minorHAnsi" w:cstheme="minorBidi"/>
          <w:color w:val="auto"/>
          <w:kern w:val="2"/>
          <w:sz w:val="32"/>
          <w:szCs w:val="32"/>
          <w:highlight w:val="none"/>
          <w:lang w:val="en-US" w:eastAsia="zh-CN" w:bidi="ar-SA"/>
        </w:rPr>
        <w:t>登记证书</w:t>
      </w:r>
      <w:r>
        <w:rPr>
          <w:rFonts w:hint="eastAsia" w:ascii="仿宋_GB2312" w:eastAsia="仿宋_GB2312" w:cstheme="minorBidi"/>
          <w:color w:val="auto"/>
          <w:kern w:val="2"/>
          <w:sz w:val="32"/>
          <w:szCs w:val="32"/>
          <w:highlight w:val="none"/>
          <w:lang w:val="en-US" w:eastAsia="zh-CN" w:bidi="ar-SA"/>
        </w:rPr>
        <w:t>且通过厦门数据交易平台挂牌的</w:t>
      </w:r>
      <w:r>
        <w:rPr>
          <w:rFonts w:hint="eastAsia" w:ascii="仿宋_GB2312" w:eastAsia="仿宋_GB2312" w:hAnsiTheme="minorHAnsi" w:cstheme="minorBidi"/>
          <w:color w:val="auto"/>
          <w:kern w:val="2"/>
          <w:sz w:val="32"/>
          <w:szCs w:val="32"/>
          <w:highlight w:val="none"/>
          <w:lang w:val="en-US" w:eastAsia="zh-CN" w:bidi="ar-SA"/>
        </w:rPr>
        <w:t>，</w:t>
      </w:r>
      <w:r>
        <w:rPr>
          <w:rFonts w:hint="eastAsia" w:ascii="仿宋_GB2312" w:eastAsia="仿宋_GB2312" w:cstheme="minorBidi"/>
          <w:color w:val="auto"/>
          <w:kern w:val="2"/>
          <w:sz w:val="32"/>
          <w:szCs w:val="32"/>
          <w:highlight w:val="none"/>
          <w:lang w:val="en-US" w:eastAsia="zh-CN" w:bidi="ar-SA"/>
        </w:rPr>
        <w:t>给予每家最高不超过5</w:t>
      </w:r>
      <w:r>
        <w:rPr>
          <w:rFonts w:hint="eastAsia" w:ascii="仿宋_GB2312" w:eastAsia="仿宋_GB2312" w:hAnsiTheme="minorHAnsi" w:cstheme="minorBidi"/>
          <w:color w:val="auto"/>
          <w:kern w:val="2"/>
          <w:sz w:val="32"/>
          <w:szCs w:val="32"/>
          <w:highlight w:val="none"/>
          <w:lang w:val="en-US" w:eastAsia="zh-CN" w:bidi="ar-SA"/>
        </w:rPr>
        <w:t>万元</w:t>
      </w:r>
      <w:r>
        <w:rPr>
          <w:rFonts w:hint="eastAsia" w:ascii="仿宋_GB2312" w:eastAsia="仿宋_GB2312" w:hAnsiTheme="minorHAnsi" w:cstheme="minorBidi"/>
          <w:b w:val="0"/>
          <w:bCs w:val="0"/>
          <w:color w:val="auto"/>
          <w:kern w:val="2"/>
          <w:sz w:val="32"/>
          <w:szCs w:val="32"/>
          <w:lang w:val="en-US" w:eastAsia="zh-CN" w:bidi="ar-SA"/>
        </w:rPr>
        <w:t>奖励</w:t>
      </w:r>
      <w:r>
        <w:rPr>
          <w:rFonts w:hint="eastAsia" w:ascii="仿宋_GB2312" w:eastAsia="仿宋_GB2312" w:cstheme="minorBidi"/>
          <w:color w:val="auto"/>
          <w:kern w:val="2"/>
          <w:sz w:val="32"/>
          <w:szCs w:val="32"/>
          <w:highlight w:val="none"/>
          <w:lang w:val="en-US" w:eastAsia="zh-CN" w:bidi="ar-SA"/>
        </w:rPr>
        <w:t>。</w:t>
      </w:r>
      <w:r>
        <w:rPr>
          <w:rFonts w:hint="eastAsia" w:ascii="仿宋_GB2312" w:eastAsia="仿宋_GB2312" w:hAnsiTheme="minorHAnsi" w:cstheme="minorBidi"/>
          <w:color w:val="auto"/>
          <w:kern w:val="2"/>
          <w:sz w:val="32"/>
          <w:szCs w:val="32"/>
          <w:highlight w:val="none"/>
          <w:lang w:val="en-US" w:eastAsia="zh-CN" w:bidi="ar-SA"/>
        </w:rPr>
        <w:t>企业</w:t>
      </w:r>
      <w:r>
        <w:rPr>
          <w:rFonts w:hint="eastAsia" w:ascii="仿宋_GB2312" w:eastAsia="仿宋_GB2312" w:cstheme="minorBidi"/>
          <w:color w:val="auto"/>
          <w:kern w:val="2"/>
          <w:sz w:val="32"/>
          <w:szCs w:val="32"/>
          <w:highlight w:val="none"/>
          <w:lang w:val="en-US" w:eastAsia="zh-CN" w:bidi="ar-SA"/>
        </w:rPr>
        <w:t>首次</w:t>
      </w:r>
      <w:r>
        <w:rPr>
          <w:rFonts w:hint="eastAsia" w:ascii="仿宋_GB2312" w:eastAsia="仿宋_GB2312" w:hAnsiTheme="minorHAnsi" w:cstheme="minorBidi"/>
          <w:color w:val="auto"/>
          <w:kern w:val="2"/>
          <w:sz w:val="32"/>
          <w:szCs w:val="32"/>
          <w:highlight w:val="none"/>
          <w:lang w:val="en-US" w:eastAsia="zh-CN" w:bidi="ar-SA"/>
        </w:rPr>
        <w:t>实现</w:t>
      </w:r>
      <w:r>
        <w:rPr>
          <w:rFonts w:hint="eastAsia" w:ascii="仿宋_GB2312" w:eastAsia="仿宋_GB2312" w:cstheme="minorBidi"/>
          <w:color w:val="auto"/>
          <w:kern w:val="2"/>
          <w:sz w:val="32"/>
          <w:szCs w:val="32"/>
          <w:highlight w:val="none"/>
          <w:lang w:val="en-US" w:eastAsia="zh-CN" w:bidi="ar-SA"/>
        </w:rPr>
        <w:t>数据资产</w:t>
      </w:r>
      <w:r>
        <w:rPr>
          <w:rFonts w:hint="eastAsia" w:ascii="仿宋_GB2312" w:eastAsia="仿宋_GB2312" w:hAnsiTheme="minorHAnsi" w:cstheme="minorBidi"/>
          <w:color w:val="auto"/>
          <w:kern w:val="2"/>
          <w:sz w:val="32"/>
          <w:szCs w:val="32"/>
          <w:highlight w:val="none"/>
          <w:lang w:val="en-US" w:eastAsia="zh-CN" w:bidi="ar-SA"/>
        </w:rPr>
        <w:t>入表且入表金额大于100万元的，</w:t>
      </w:r>
      <w:r>
        <w:rPr>
          <w:rFonts w:hint="eastAsia" w:ascii="仿宋_GB2312" w:eastAsia="仿宋_GB2312" w:cstheme="minorBidi"/>
          <w:color w:val="auto"/>
          <w:kern w:val="2"/>
          <w:sz w:val="32"/>
          <w:szCs w:val="32"/>
          <w:highlight w:val="none"/>
          <w:lang w:val="en-US" w:eastAsia="zh-CN" w:bidi="ar-SA"/>
        </w:rPr>
        <w:t>最高给予5万元</w:t>
      </w:r>
      <w:r>
        <w:rPr>
          <w:rFonts w:hint="eastAsia" w:ascii="仿宋_GB2312" w:eastAsia="仿宋_GB2312" w:hAnsiTheme="minorHAnsi" w:cstheme="minorBidi"/>
          <w:b w:val="0"/>
          <w:bCs w:val="0"/>
          <w:color w:val="auto"/>
          <w:kern w:val="2"/>
          <w:sz w:val="32"/>
          <w:szCs w:val="32"/>
          <w:lang w:val="en-US" w:eastAsia="zh-CN" w:bidi="ar-SA"/>
        </w:rPr>
        <w:t>奖励</w:t>
      </w:r>
      <w:r>
        <w:rPr>
          <w:rFonts w:hint="eastAsia" w:ascii="仿宋_GB2312" w:eastAsia="仿宋_GB2312" w:cstheme="minorBidi"/>
          <w:b w:val="0"/>
          <w:bCs w:val="0"/>
          <w:color w:val="auto"/>
          <w:kern w:val="2"/>
          <w:sz w:val="32"/>
          <w:szCs w:val="32"/>
          <w:lang w:val="en-US" w:eastAsia="zh-CN" w:bidi="ar-SA"/>
        </w:rPr>
        <w:t>。</w:t>
      </w:r>
      <w:r>
        <w:rPr>
          <w:rFonts w:hint="eastAsia" w:ascii="仿宋_GB2312" w:eastAsia="仿宋_GB2312" w:hAnsiTheme="minorHAnsi" w:cstheme="minorBidi"/>
          <w:color w:val="auto"/>
          <w:kern w:val="2"/>
          <w:sz w:val="32"/>
          <w:szCs w:val="32"/>
          <w:highlight w:val="none"/>
          <w:lang w:val="en-US" w:eastAsia="zh-CN" w:bidi="ar-SA"/>
        </w:rPr>
        <w:t>企业通过国家数据安全监管部门数据出境安全评估、个人信息出境标准合同</w:t>
      </w:r>
      <w:r>
        <w:rPr>
          <w:rFonts w:hint="eastAsia" w:ascii="仿宋_GB2312" w:eastAsia="仿宋_GB2312" w:cstheme="minorBidi"/>
          <w:color w:val="auto"/>
          <w:kern w:val="2"/>
          <w:sz w:val="32"/>
          <w:szCs w:val="32"/>
          <w:highlight w:val="none"/>
          <w:lang w:val="en-US" w:eastAsia="zh-CN" w:bidi="ar-SA"/>
        </w:rPr>
        <w:t>备案</w:t>
      </w:r>
      <w:r>
        <w:rPr>
          <w:rFonts w:hint="eastAsia" w:ascii="仿宋_GB2312" w:eastAsia="仿宋_GB2312" w:hAnsiTheme="minorHAnsi" w:cstheme="minorBidi"/>
          <w:color w:val="auto"/>
          <w:kern w:val="2"/>
          <w:sz w:val="32"/>
          <w:szCs w:val="32"/>
          <w:highlight w:val="none"/>
          <w:lang w:val="en-US" w:eastAsia="zh-CN" w:bidi="ar-SA"/>
        </w:rPr>
        <w:t>、个人信息保护认证的，最高</w:t>
      </w:r>
      <w:r>
        <w:rPr>
          <w:rFonts w:hint="eastAsia" w:ascii="仿宋_GB2312" w:eastAsia="仿宋_GB2312" w:cstheme="minorBidi"/>
          <w:color w:val="auto"/>
          <w:kern w:val="2"/>
          <w:sz w:val="32"/>
          <w:szCs w:val="32"/>
          <w:highlight w:val="none"/>
          <w:lang w:val="en-US" w:eastAsia="zh-CN" w:bidi="ar-SA"/>
        </w:rPr>
        <w:t>给予</w:t>
      </w:r>
      <w:r>
        <w:rPr>
          <w:rFonts w:hint="eastAsia" w:ascii="仿宋_GB2312" w:eastAsia="仿宋_GB2312" w:hAnsiTheme="minorHAnsi" w:cstheme="minorBidi"/>
          <w:color w:val="auto"/>
          <w:kern w:val="2"/>
          <w:sz w:val="32"/>
          <w:szCs w:val="32"/>
          <w:highlight w:val="none"/>
          <w:lang w:val="en-US" w:eastAsia="zh-CN" w:bidi="ar-SA"/>
        </w:rPr>
        <w:t>5万元</w:t>
      </w:r>
      <w:r>
        <w:rPr>
          <w:rFonts w:hint="eastAsia" w:ascii="仿宋_GB2312" w:eastAsia="仿宋_GB2312" w:hAnsiTheme="minorHAnsi" w:cstheme="minorBidi"/>
          <w:b w:val="0"/>
          <w:bCs w:val="0"/>
          <w:color w:val="auto"/>
          <w:kern w:val="2"/>
          <w:sz w:val="32"/>
          <w:szCs w:val="32"/>
          <w:lang w:val="en-US" w:eastAsia="zh-CN" w:bidi="ar-SA"/>
        </w:rPr>
        <w:t>奖励</w:t>
      </w:r>
      <w:r>
        <w:rPr>
          <w:rFonts w:hint="eastAsia" w:ascii="仿宋_GB2312" w:eastAsia="仿宋_GB2312" w:hAnsiTheme="minorHAnsi" w:cstheme="minorBidi"/>
          <w:color w:val="auto"/>
          <w:kern w:val="2"/>
          <w:sz w:val="32"/>
          <w:szCs w:val="32"/>
          <w:highlight w:val="none"/>
          <w:lang w:val="en-US" w:eastAsia="zh-CN" w:bidi="ar-SA"/>
        </w:rPr>
        <w:t>。</w:t>
      </w:r>
    </w:p>
    <w:p w14:paraId="586AB60B">
      <w:pPr>
        <w:pStyle w:val="3"/>
        <w:keepNext w:val="0"/>
        <w:keepLines w:val="0"/>
        <w:widowControl/>
        <w:numPr>
          <w:ilvl w:val="0"/>
          <w:numId w:val="1"/>
        </w:numPr>
        <w:suppressLineNumbers w:val="0"/>
        <w:spacing w:line="600" w:lineRule="exact"/>
        <w:ind w:left="630" w:firstLine="0" w:firstLineChars="0"/>
        <w:jc w:val="left"/>
        <w:rPr>
          <w:rFonts w:hint="eastAsia" w:ascii="黑体" w:hAnsi="黑体" w:eastAsia="黑体" w:cs="黑体"/>
          <w:b w:val="0"/>
          <w:bCs w:val="0"/>
          <w:color w:val="auto"/>
          <w:kern w:val="0"/>
          <w:sz w:val="32"/>
          <w:szCs w:val="32"/>
          <w:highlight w:val="none"/>
          <w:lang w:val="en-US" w:eastAsia="zh-CN" w:bidi="ar-SA"/>
        </w:rPr>
      </w:pPr>
      <w:r>
        <w:rPr>
          <w:rFonts w:hint="eastAsia" w:ascii="黑体" w:hAnsi="黑体" w:eastAsia="黑体" w:cs="黑体"/>
          <w:b w:val="0"/>
          <w:bCs w:val="0"/>
          <w:color w:val="auto"/>
          <w:kern w:val="0"/>
          <w:sz w:val="32"/>
          <w:szCs w:val="32"/>
          <w:lang w:val="en-US" w:eastAsia="zh-CN" w:bidi="ar-SA"/>
        </w:rPr>
        <w:t>打造典型应用场景</w:t>
      </w:r>
    </w:p>
    <w:p w14:paraId="7B3C1F88">
      <w:pPr>
        <w:pStyle w:val="3"/>
        <w:keepNext w:val="0"/>
        <w:keepLines w:val="0"/>
        <w:widowControl/>
        <w:numPr>
          <w:ilvl w:val="-1"/>
          <w:numId w:val="0"/>
        </w:numPr>
        <w:suppressLineNumbers w:val="0"/>
        <w:spacing w:line="600" w:lineRule="exact"/>
        <w:ind w:left="0" w:leftChars="0" w:firstLine="643" w:firstLineChars="200"/>
        <w:jc w:val="left"/>
        <w:rPr>
          <w:rFonts w:hint="eastAsia" w:ascii="仿宋_GB2312" w:eastAsia="仿宋_GB2312" w:hAnsiTheme="minorHAnsi" w:cstheme="minorBidi"/>
          <w:color w:val="auto"/>
          <w:kern w:val="2"/>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
        </w:rPr>
        <w:t>（五）鼓励公共数据开发利用。</w:t>
      </w:r>
      <w:r>
        <w:rPr>
          <w:rFonts w:hint="eastAsia" w:ascii="仿宋_GB2312" w:eastAsia="仿宋_GB2312" w:hAnsiTheme="minorHAnsi" w:cstheme="minorBidi"/>
          <w:color w:val="auto"/>
          <w:kern w:val="2"/>
          <w:sz w:val="32"/>
          <w:szCs w:val="32"/>
          <w:highlight w:val="none"/>
          <w:lang w:val="en-US" w:eastAsia="zh-CN" w:bidi="ar-SA"/>
        </w:rPr>
        <w:t>支持企业积极参与省市公共数据社会化开发利用，评选一批社会效益、经济效益显著的应用场景，每个应用场景给予开发主体最高20万元奖励。</w:t>
      </w:r>
    </w:p>
    <w:p w14:paraId="2638623B">
      <w:pPr>
        <w:pStyle w:val="3"/>
        <w:keepNext w:val="0"/>
        <w:keepLines w:val="0"/>
        <w:widowControl/>
        <w:numPr>
          <w:ilvl w:val="-1"/>
          <w:numId w:val="0"/>
        </w:numPr>
        <w:suppressLineNumbers w:val="0"/>
        <w:spacing w:line="600" w:lineRule="exact"/>
        <w:ind w:left="0" w:leftChars="0" w:firstLine="643" w:firstLineChars="200"/>
        <w:jc w:val="left"/>
        <w:rPr>
          <w:rFonts w:hint="eastAsia" w:ascii="仿宋_GB2312" w:eastAsia="仿宋_GB2312" w:hAnsiTheme="minorHAnsi" w:cstheme="minorBidi"/>
          <w:color w:val="auto"/>
          <w:kern w:val="2"/>
          <w:sz w:val="32"/>
          <w:szCs w:val="32"/>
          <w:highlight w:val="none"/>
          <w:lang w:val="en-US" w:eastAsia="zh-CN" w:bidi="ar-SA"/>
        </w:rPr>
      </w:pPr>
      <w:r>
        <w:rPr>
          <w:rFonts w:hint="eastAsia" w:ascii="楷体_GB2312" w:hAnsi="楷体_GB2312" w:eastAsia="楷体_GB2312" w:cs="楷体_GB2312"/>
          <w:b/>
          <w:bCs/>
          <w:color w:val="auto"/>
          <w:kern w:val="0"/>
          <w:sz w:val="32"/>
          <w:szCs w:val="32"/>
          <w:highlight w:val="none"/>
          <w:lang w:val="en-US" w:eastAsia="zh-CN" w:bidi="ar"/>
        </w:rPr>
        <w:t>（六）支持打造典型应用场景。</w:t>
      </w:r>
      <w:r>
        <w:rPr>
          <w:rFonts w:hint="eastAsia" w:ascii="仿宋_GB2312" w:eastAsia="仿宋_GB2312" w:cs="仿宋_GB2312"/>
          <w:b w:val="0"/>
          <w:bCs w:val="0"/>
          <w:color w:val="auto"/>
          <w:kern w:val="0"/>
          <w:sz w:val="32"/>
          <w:szCs w:val="32"/>
          <w:highlight w:val="none"/>
          <w:lang w:val="en-US" w:eastAsia="zh-CN" w:bidi="ar"/>
        </w:rPr>
        <w:t>支持</w:t>
      </w:r>
      <w:r>
        <w:rPr>
          <w:rFonts w:hint="eastAsia" w:ascii="仿宋_GB2312" w:hAnsi="宋体" w:eastAsia="仿宋_GB2312" w:cs="仿宋_GB2312"/>
          <w:b w:val="0"/>
          <w:bCs w:val="0"/>
          <w:color w:val="auto"/>
          <w:kern w:val="0"/>
          <w:sz w:val="32"/>
          <w:szCs w:val="32"/>
          <w:highlight w:val="none"/>
          <w:lang w:val="en-US" w:eastAsia="zh-CN" w:bidi="ar"/>
        </w:rPr>
        <w:t>企</w:t>
      </w:r>
      <w:r>
        <w:rPr>
          <w:rFonts w:hint="eastAsia" w:ascii="仿宋_GB2312" w:eastAsia="仿宋_GB2312" w:hAnsiTheme="minorHAnsi" w:cstheme="minorBidi"/>
          <w:b w:val="0"/>
          <w:bCs w:val="0"/>
          <w:color w:val="auto"/>
          <w:kern w:val="2"/>
          <w:sz w:val="32"/>
          <w:szCs w:val="32"/>
          <w:highlight w:val="none"/>
          <w:lang w:val="en-US" w:eastAsia="zh-CN" w:bidi="ar-SA"/>
        </w:rPr>
        <w:t>业围绕工业、农业、商贸、金融</w:t>
      </w:r>
      <w:r>
        <w:rPr>
          <w:rFonts w:hint="eastAsia" w:ascii="仿宋_GB2312" w:hAnsi="仿宋_GB2312" w:eastAsia="仿宋_GB2312" w:cs="仿宋_GB2312"/>
          <w:color w:val="auto"/>
          <w:kern w:val="0"/>
          <w:sz w:val="32"/>
          <w:szCs w:val="32"/>
          <w:highlight w:val="none"/>
          <w:shd w:val="clear" w:color="auto" w:fill="auto"/>
          <w:lang w:val="en-US" w:eastAsia="zh-CN" w:bidi="ar-SA"/>
        </w:rPr>
        <w:t>、医疗、交通</w:t>
      </w:r>
      <w:r>
        <w:rPr>
          <w:rFonts w:hint="eastAsia" w:ascii="仿宋_GB2312" w:eastAsia="仿宋_GB2312" w:hAnsiTheme="minorHAnsi" w:cstheme="minorBidi"/>
          <w:b w:val="0"/>
          <w:bCs w:val="0"/>
          <w:color w:val="auto"/>
          <w:kern w:val="2"/>
          <w:sz w:val="32"/>
          <w:szCs w:val="32"/>
          <w:highlight w:val="none"/>
          <w:lang w:val="en-US" w:eastAsia="zh-CN" w:bidi="ar-SA"/>
        </w:rPr>
        <w:t>等重点领域，打造“数据要素X”典型场景，服务产业转型升级。</w:t>
      </w:r>
      <w:r>
        <w:rPr>
          <w:rFonts w:hint="eastAsia" w:ascii="仿宋_GB2312" w:eastAsia="仿宋_GB2312" w:hAnsiTheme="minorHAnsi" w:cstheme="minorBidi"/>
          <w:color w:val="auto"/>
          <w:kern w:val="2"/>
          <w:sz w:val="32"/>
          <w:szCs w:val="32"/>
          <w:highlight w:val="none"/>
          <w:lang w:val="en-US" w:eastAsia="zh-CN" w:bidi="ar-SA"/>
        </w:rPr>
        <w:t>鼓励企业参加国家级、省级数据要素应用典型案例评选和数据应用创新赛事活动，政策有效期内，企业参评参赛，项目投入使用并产生效益，且获得国家级或省级奖项的，分别给予一次性最高不超过50万元、10万元奖励，同一项目同时获得国家级、省级奖项的，按“就高不重复”原则进行奖励。</w:t>
      </w:r>
    </w:p>
    <w:p w14:paraId="11AC7FB9">
      <w:pPr>
        <w:pStyle w:val="3"/>
        <w:keepNext w:val="0"/>
        <w:keepLines w:val="0"/>
        <w:pageBreakBefore w:val="0"/>
        <w:widowControl/>
        <w:numPr>
          <w:ilvl w:val="0"/>
          <w:numId w:val="1"/>
        </w:numPr>
        <w:kinsoku/>
        <w:wordWrap/>
        <w:overflowPunct/>
        <w:topLinePunct w:val="0"/>
        <w:autoSpaceDE/>
        <w:autoSpaceDN/>
        <w:bidi w:val="0"/>
        <w:adjustRightInd/>
        <w:snapToGrid/>
        <w:spacing w:line="600" w:lineRule="exact"/>
        <w:ind w:left="630" w:firstLine="0" w:firstLineChars="0"/>
        <w:textAlignment w:val="auto"/>
        <w:rPr>
          <w:rFonts w:ascii="黑体" w:hAnsi="黑体" w:eastAsia="黑体" w:cs="黑体"/>
          <w:color w:val="auto"/>
          <w:kern w:val="0"/>
          <w:sz w:val="32"/>
          <w:szCs w:val="32"/>
          <w:lang w:val="en-US" w:eastAsia="zh-CN" w:bidi="ar-SA"/>
        </w:rPr>
      </w:pPr>
      <w:r>
        <w:rPr>
          <w:rFonts w:hint="eastAsia" w:ascii="黑体" w:hAnsi="黑体" w:eastAsia="黑体" w:cs="黑体"/>
          <w:bCs w:val="0"/>
          <w:color w:val="auto"/>
          <w:kern w:val="0"/>
          <w:sz w:val="32"/>
          <w:szCs w:val="32"/>
          <w:lang w:val="en-US" w:eastAsia="zh-CN" w:bidi="ar-SA"/>
        </w:rPr>
        <w:t>其他事项</w:t>
      </w:r>
    </w:p>
    <w:p w14:paraId="7E892F97">
      <w:pPr>
        <w:keepNext w:val="0"/>
        <w:keepLines w:val="0"/>
        <w:pageBreakBefore w:val="0"/>
        <w:widowControl/>
        <w:numPr>
          <w:ilvl w:val="-1"/>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auto"/>
          <w:kern w:val="0"/>
          <w:sz w:val="32"/>
          <w:szCs w:val="32"/>
          <w:lang w:val="en-US" w:eastAsia="zh-CN" w:bidi="ar"/>
        </w:rPr>
      </w:pPr>
      <w:r>
        <w:rPr>
          <w:rFonts w:hint="eastAsia" w:ascii="仿宋_GB2312" w:hAnsi="宋体" w:eastAsia="仿宋_GB2312" w:cs="仿宋_GB2312"/>
          <w:color w:val="auto"/>
          <w:kern w:val="0"/>
          <w:sz w:val="32"/>
          <w:szCs w:val="32"/>
          <w:lang w:val="en-US" w:eastAsia="zh-CN" w:bidi="ar"/>
        </w:rPr>
        <w:t>本政策实行年度资金总控。涉及的各项扶持资金，按财政体制由市、区（管委会）受益财政共同承担。</w:t>
      </w:r>
      <w:r>
        <w:rPr>
          <w:rFonts w:hint="eastAsia" w:ascii="仿宋_GB2312" w:eastAsia="仿宋_GB2312"/>
          <w:color w:val="auto"/>
          <w:sz w:val="32"/>
          <w:szCs w:val="32"/>
          <w:lang w:val="en-US" w:eastAsia="zh-CN"/>
        </w:rPr>
        <w:t>市数据管理局、市财政局等相关部门负责本措施组织实施，各区、管委会做好政策兑现和企业服务工作。</w:t>
      </w:r>
    </w:p>
    <w:p w14:paraId="499F2959">
      <w:pPr>
        <w:keepNext w:val="0"/>
        <w:keepLines w:val="0"/>
        <w:pageBreakBefore w:val="0"/>
        <w:widowControl/>
        <w:numPr>
          <w:ilvl w:val="0"/>
          <w:numId w:val="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autoSpaceDE/>
        <w:autoSpaceDN/>
        <w:bidi w:val="0"/>
        <w:adjustRightInd/>
        <w:snapToGrid/>
        <w:spacing w:line="600" w:lineRule="exact"/>
        <w:ind w:firstLine="640" w:firstLineChars="200"/>
        <w:jc w:val="left"/>
        <w:textAlignment w:val="auto"/>
        <w:rPr>
          <w:sz w:val="32"/>
          <w:szCs w:val="32"/>
        </w:rPr>
      </w:pPr>
      <w:r>
        <w:rPr>
          <w:rFonts w:ascii="仿宋_GB2312" w:hAnsi="宋体" w:eastAsia="仿宋_GB2312" w:cs="仿宋_GB2312"/>
          <w:color w:val="auto"/>
          <w:kern w:val="0"/>
          <w:sz w:val="32"/>
          <w:szCs w:val="32"/>
          <w:lang w:val="en-US" w:eastAsia="zh-CN" w:bidi="ar"/>
        </w:rPr>
        <w:t>本政策</w:t>
      </w:r>
      <w:r>
        <w:rPr>
          <w:rFonts w:hint="eastAsia" w:ascii="仿宋_GB2312" w:hAnsi="宋体" w:eastAsia="仿宋_GB2312" w:cs="仿宋_GB2312"/>
          <w:color w:val="auto"/>
          <w:kern w:val="0"/>
          <w:sz w:val="32"/>
          <w:szCs w:val="32"/>
          <w:lang w:val="en-US" w:eastAsia="zh-CN" w:bidi="ar"/>
        </w:rPr>
        <w:t>自印</w:t>
      </w:r>
      <w:bookmarkStart w:id="0" w:name="_GoBack"/>
      <w:bookmarkEnd w:id="0"/>
      <w:r>
        <w:rPr>
          <w:rFonts w:hint="eastAsia" w:ascii="仿宋_GB2312" w:hAnsi="宋体" w:eastAsia="仿宋_GB2312" w:cs="仿宋_GB2312"/>
          <w:color w:val="auto"/>
          <w:kern w:val="0"/>
          <w:sz w:val="32"/>
          <w:szCs w:val="32"/>
          <w:lang w:val="en-US" w:eastAsia="zh-CN" w:bidi="ar"/>
        </w:rPr>
        <w:t>发之日起施行，有效期3年，有效期届满后，涉及有效期内的奖励措施，延续至政策执行完毕</w:t>
      </w:r>
      <w:r>
        <w:rPr>
          <w:rFonts w:ascii="仿宋_GB2312" w:hAnsi="宋体" w:eastAsia="仿宋_GB2312" w:cs="仿宋_GB2312"/>
          <w:color w:val="auto"/>
          <w:kern w:val="0"/>
          <w:sz w:val="32"/>
          <w:szCs w:val="32"/>
          <w:lang w:val="en-US" w:eastAsia="zh-CN" w:bidi="ar"/>
        </w:rPr>
        <w:t>。</w:t>
      </w:r>
      <w:r>
        <w:rPr>
          <w:rFonts w:hint="eastAsia" w:ascii="仿宋_GB2312" w:eastAsia="仿宋_GB2312" w:cs="仿宋_GB2312"/>
          <w:color w:val="auto"/>
          <w:sz w:val="32"/>
          <w:szCs w:val="32"/>
          <w:lang w:eastAsia="zh-CN"/>
        </w:rPr>
        <w:t>国家、省、市级同类政策与本市政策不一致的，按“就高不重复”原则兑现。</w:t>
      </w:r>
      <w:r>
        <w:rPr>
          <w:rFonts w:ascii="仿宋_GB2312" w:eastAsia="仿宋_GB2312" w:cs="仿宋_GB2312"/>
          <w:color w:val="auto"/>
          <w:sz w:val="32"/>
          <w:szCs w:val="32"/>
        </w:rPr>
        <w:t>在实施过程中，如遇国家、省有关政策调整，以新出台政策</w:t>
      </w:r>
      <w:r>
        <w:rPr>
          <w:rFonts w:hint="eastAsia" w:ascii="仿宋_GB2312" w:eastAsia="仿宋_GB2312" w:cs="仿宋_GB2312"/>
          <w:color w:val="auto"/>
          <w:sz w:val="32"/>
          <w:szCs w:val="32"/>
        </w:rPr>
        <w:t>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0654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70FCB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070FCB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B5D72"/>
    <w:multiLevelType w:val="singleLevel"/>
    <w:tmpl w:val="05CB5D72"/>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YUXH">
    <w15:presenceInfo w15:providerId="WPS Office" w15:userId="22848464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mMWRmZDY3NDA2YmQ1YWNiM2Q5YzJiNmM1YTczZjgifQ=="/>
  </w:docVars>
  <w:rsids>
    <w:rsidRoot w:val="028125F6"/>
    <w:rsid w:val="002F46E4"/>
    <w:rsid w:val="017A69C3"/>
    <w:rsid w:val="028125F6"/>
    <w:rsid w:val="036378E3"/>
    <w:rsid w:val="04B005B3"/>
    <w:rsid w:val="06D73153"/>
    <w:rsid w:val="091E5277"/>
    <w:rsid w:val="0E9A6F0F"/>
    <w:rsid w:val="12635200"/>
    <w:rsid w:val="13565309"/>
    <w:rsid w:val="13E13A2C"/>
    <w:rsid w:val="13FEAE9C"/>
    <w:rsid w:val="1651030E"/>
    <w:rsid w:val="173C0FBE"/>
    <w:rsid w:val="1AD335A1"/>
    <w:rsid w:val="1AFE3AEB"/>
    <w:rsid w:val="1B5313EB"/>
    <w:rsid w:val="1BBBAD5A"/>
    <w:rsid w:val="1CE956F9"/>
    <w:rsid w:val="26DF2CB9"/>
    <w:rsid w:val="27FFD809"/>
    <w:rsid w:val="2CD60444"/>
    <w:rsid w:val="30653639"/>
    <w:rsid w:val="399D07C8"/>
    <w:rsid w:val="3B639846"/>
    <w:rsid w:val="3C5C694B"/>
    <w:rsid w:val="3E86771E"/>
    <w:rsid w:val="40B66D0F"/>
    <w:rsid w:val="420E7659"/>
    <w:rsid w:val="481A1C77"/>
    <w:rsid w:val="48D03190"/>
    <w:rsid w:val="4B2B19B5"/>
    <w:rsid w:val="4C3552A4"/>
    <w:rsid w:val="52C12893"/>
    <w:rsid w:val="531A2CB2"/>
    <w:rsid w:val="573FC5EB"/>
    <w:rsid w:val="579936ED"/>
    <w:rsid w:val="5A89319F"/>
    <w:rsid w:val="5B500161"/>
    <w:rsid w:val="5CCD416D"/>
    <w:rsid w:val="634066C9"/>
    <w:rsid w:val="64434E02"/>
    <w:rsid w:val="68041736"/>
    <w:rsid w:val="68555008"/>
    <w:rsid w:val="69697D78"/>
    <w:rsid w:val="6BCA54D6"/>
    <w:rsid w:val="6CA90A99"/>
    <w:rsid w:val="71172A82"/>
    <w:rsid w:val="765C6801"/>
    <w:rsid w:val="775579EF"/>
    <w:rsid w:val="79FF1F0E"/>
    <w:rsid w:val="7D95413B"/>
    <w:rsid w:val="7DB87432"/>
    <w:rsid w:val="7DBF9E09"/>
    <w:rsid w:val="7DDD2647"/>
    <w:rsid w:val="7EC902C5"/>
    <w:rsid w:val="7FF9BFEF"/>
    <w:rsid w:val="9FB75F2A"/>
    <w:rsid w:val="B7D79091"/>
    <w:rsid w:val="C699B155"/>
    <w:rsid w:val="D7BFE9BC"/>
    <w:rsid w:val="DDB75BA2"/>
    <w:rsid w:val="EFEC4C08"/>
    <w:rsid w:val="F3FEEBCA"/>
    <w:rsid w:val="FD7FC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c501</Company>
  <Pages>3</Pages>
  <Words>1396</Words>
  <Characters>1417</Characters>
  <Lines>0</Lines>
  <Paragraphs>0</Paragraphs>
  <TotalTime>3</TotalTime>
  <ScaleCrop>false</ScaleCrop>
  <LinksUpToDate>false</LinksUpToDate>
  <CharactersWithSpaces>1418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2024-09-08T10:46:00Z</dcterms:created>
  <dc:creator>余晓红</dc:creator>
  <cp:lastModifiedBy>YUXH</cp:lastModifiedBy>
  <cp:lastPrinted>2025-03-24T11:01:00Z</cp:lastPrinted>
  <dcterms:modified xsi:type="dcterms:W3CDTF">2025-04-10T03:43:32Z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258D9CD45ABD18EFE9DFE06753BC622E</vt:lpwstr>
  </property>
  <property fmtid="{D5CDD505-2E9C-101B-9397-08002B2CF9AE}" pid="4" name="KSOTemplateDocerSaveRecord">
    <vt:lpwstr>eyJoZGlkIjoiZDBmMWRmZDY3NDA2YmQ1YWNiM2Q5YzJiNmM1YTczZjgiLCJ1c2VySWQiOiI3MjQyMDExMDIifQ==</vt:lpwstr>
  </property>
</Properties>
</file>